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E104" w14:textId="4797B60F" w:rsidR="00B937A7" w:rsidRPr="00B937A7" w:rsidRDefault="00000000" w:rsidP="00B937A7">
      <w:pPr>
        <w:jc w:val="center"/>
        <w:rPr>
          <w:b/>
          <w:bCs/>
          <w:lang w:val="pl-PL"/>
        </w:rPr>
      </w:pPr>
      <w:r w:rsidRPr="00D42551">
        <w:rPr>
          <w:b/>
          <w:bCs/>
          <w:lang w:val="pl-PL"/>
        </w:rPr>
        <w:t>UMOWA POWIERZENIA PRZETWARZANIA DANYCH OSOBOWYCH</w:t>
      </w:r>
      <w:r w:rsidR="00B937A7">
        <w:rPr>
          <w:b/>
          <w:bCs/>
          <w:lang w:val="pl-PL"/>
        </w:rPr>
        <w:t xml:space="preserve"> ZOZ-PDO-11/2025</w:t>
      </w:r>
    </w:p>
    <w:p w14:paraId="14E237CA" w14:textId="77777777" w:rsidR="00B937A7" w:rsidRPr="00B937A7" w:rsidRDefault="00B937A7" w:rsidP="00B93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76" w:lineRule="auto"/>
        <w:rPr>
          <w:rFonts w:eastAsia="Calibri" w:cs="Calibri"/>
          <w:color w:val="auto"/>
          <w:bdr w:val="none" w:sz="0" w:space="0" w:color="auto"/>
          <w:lang w:val="pl-PL" w:eastAsia="ar-SA"/>
        </w:rPr>
      </w:pP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 xml:space="preserve">zawarta drogą elektroniczną  pomiędzy: </w:t>
      </w:r>
    </w:p>
    <w:p w14:paraId="4582F1FC" w14:textId="77777777" w:rsidR="00B937A7" w:rsidRPr="00B937A7" w:rsidRDefault="00B937A7" w:rsidP="00B93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autoSpaceDN w:val="0"/>
        <w:spacing w:after="0" w:line="276" w:lineRule="auto"/>
        <w:rPr>
          <w:rFonts w:eastAsia="Calibri" w:cs="Calibri"/>
          <w:color w:val="auto"/>
          <w:bdr w:val="none" w:sz="0" w:space="0" w:color="auto"/>
          <w:lang w:val="pl-PL" w:eastAsia="ar-SA"/>
        </w:rPr>
      </w:pP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 xml:space="preserve">Zespołem Opieki Zdrowotnej w Szczytnie z siedzibą: 12-100 Szczytno  </w:t>
      </w:r>
    </w:p>
    <w:p w14:paraId="4B8A33D4" w14:textId="77777777" w:rsidR="00B937A7" w:rsidRPr="00B937A7" w:rsidRDefault="00B937A7" w:rsidP="00B93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autoSpaceDN w:val="0"/>
        <w:spacing w:after="0" w:line="276" w:lineRule="auto"/>
        <w:rPr>
          <w:rFonts w:eastAsia="Calibri" w:cs="Calibri"/>
          <w:color w:val="auto"/>
          <w:bdr w:val="none" w:sz="0" w:space="0" w:color="auto"/>
          <w:lang w:val="pl-PL" w:eastAsia="ar-SA"/>
        </w:rPr>
      </w:pP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>ul. M. C. Skłodowskiej 12</w:t>
      </w:r>
    </w:p>
    <w:p w14:paraId="0FF31958" w14:textId="77777777" w:rsidR="00B937A7" w:rsidRPr="00B937A7" w:rsidRDefault="00B937A7" w:rsidP="00B93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autoSpaceDN w:val="0"/>
        <w:spacing w:after="0" w:line="276" w:lineRule="auto"/>
        <w:rPr>
          <w:rFonts w:eastAsia="Calibri" w:cs="Calibri"/>
          <w:color w:val="auto"/>
          <w:bdr w:val="none" w:sz="0" w:space="0" w:color="auto"/>
          <w:lang w:val="pl-PL" w:eastAsia="ar-SA"/>
        </w:rPr>
      </w:pP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>NIP: 745-15-93-187</w:t>
      </w: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ab/>
      </w: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ab/>
      </w: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ab/>
      </w: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ab/>
      </w: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ab/>
        <w:t>REGON: 519483005</w:t>
      </w:r>
    </w:p>
    <w:p w14:paraId="7C2009D3" w14:textId="77777777" w:rsidR="00B937A7" w:rsidRPr="00B937A7" w:rsidRDefault="00B937A7" w:rsidP="00B93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autoSpaceDN w:val="0"/>
        <w:spacing w:after="0" w:line="276" w:lineRule="auto"/>
        <w:rPr>
          <w:rFonts w:eastAsia="Calibri" w:cs="Calibri"/>
          <w:color w:val="auto"/>
          <w:bdr w:val="none" w:sz="0" w:space="0" w:color="auto"/>
          <w:lang w:val="pl-PL" w:eastAsia="ar-SA"/>
        </w:rPr>
      </w:pP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>reprezentowanym przez :</w:t>
      </w:r>
    </w:p>
    <w:p w14:paraId="7425E114" w14:textId="2A69552E" w:rsidR="00B937A7" w:rsidRPr="00B937A7" w:rsidRDefault="00B937A7" w:rsidP="00B93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autoSpaceDN w:val="0"/>
        <w:spacing w:after="0" w:line="240" w:lineRule="auto"/>
        <w:rPr>
          <w:rFonts w:eastAsia="Calibri" w:cs="Calibri"/>
          <w:color w:val="auto"/>
          <w:bdr w:val="none" w:sz="0" w:space="0" w:color="auto"/>
          <w:lang w:val="pl-PL" w:eastAsia="ar-SA"/>
        </w:rPr>
      </w:pP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ab/>
      </w: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ab/>
      </w: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ab/>
        <w:t>Dyrektor – Beaty Kostrzewa</w:t>
      </w:r>
    </w:p>
    <w:p w14:paraId="580A94AF" w14:textId="422CA6FD" w:rsidR="00B937A7" w:rsidRPr="00B937A7" w:rsidRDefault="00B937A7" w:rsidP="00B93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/>
        <w:autoSpaceDN w:val="0"/>
        <w:spacing w:after="0" w:line="276" w:lineRule="auto"/>
        <w:rPr>
          <w:rFonts w:eastAsia="Calibri" w:cs="Calibri"/>
          <w:color w:val="auto"/>
          <w:bdr w:val="none" w:sz="0" w:space="0" w:color="auto"/>
          <w:lang w:val="pl-PL" w:eastAsia="ar-SA"/>
        </w:rPr>
      </w:pP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>zwanym w treści umowy „</w:t>
      </w:r>
      <w:r w:rsidRPr="00B937A7">
        <w:rPr>
          <w:rFonts w:eastAsia="Calibri" w:cs="Calibri"/>
          <w:b/>
          <w:bCs/>
          <w:color w:val="auto"/>
          <w:bdr w:val="none" w:sz="0" w:space="0" w:color="auto"/>
          <w:lang w:val="pl-PL" w:eastAsia="ar-SA"/>
        </w:rPr>
        <w:t>Administratorem</w:t>
      </w: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 xml:space="preserve">” </w:t>
      </w:r>
    </w:p>
    <w:p w14:paraId="28F6E31B" w14:textId="77777777" w:rsidR="00B937A7" w:rsidRPr="00B937A7" w:rsidRDefault="00B937A7" w:rsidP="00B93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76" w:lineRule="auto"/>
        <w:rPr>
          <w:rFonts w:eastAsia="Calibri" w:cs="Calibri"/>
          <w:color w:val="auto"/>
          <w:bdr w:val="none" w:sz="0" w:space="0" w:color="auto"/>
          <w:lang w:val="pl-PL" w:eastAsia="ar-SA"/>
        </w:rPr>
      </w:pP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 xml:space="preserve">a </w:t>
      </w:r>
    </w:p>
    <w:p w14:paraId="22733B02" w14:textId="77777777" w:rsidR="00B937A7" w:rsidRPr="00B937A7" w:rsidRDefault="00B937A7" w:rsidP="00B93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76" w:lineRule="auto"/>
        <w:rPr>
          <w:rFonts w:eastAsia="Calibri" w:cs="Calibri"/>
          <w:color w:val="auto"/>
          <w:bdr w:val="none" w:sz="0" w:space="0" w:color="auto"/>
          <w:lang w:val="pl-PL" w:eastAsia="ar-SA"/>
        </w:rPr>
      </w:pP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 xml:space="preserve">…………………… z siedzibą: …………………………………….. </w:t>
      </w:r>
    </w:p>
    <w:p w14:paraId="39AB780B" w14:textId="77777777" w:rsidR="00B937A7" w:rsidRPr="00B937A7" w:rsidRDefault="00B937A7" w:rsidP="00B93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76" w:lineRule="auto"/>
        <w:rPr>
          <w:rFonts w:eastAsia="Calibri" w:cs="Calibri"/>
          <w:color w:val="auto"/>
          <w:bdr w:val="none" w:sz="0" w:space="0" w:color="auto"/>
          <w:lang w:val="pl-PL" w:eastAsia="ar-SA"/>
        </w:rPr>
      </w:pP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>NIP: …………………</w:t>
      </w: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ab/>
      </w: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ab/>
      </w: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ab/>
      </w: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ab/>
        <w:t>REGON: …………………………</w:t>
      </w:r>
    </w:p>
    <w:p w14:paraId="0229204E" w14:textId="77777777" w:rsidR="00B937A7" w:rsidRPr="00B937A7" w:rsidRDefault="00B937A7" w:rsidP="00B93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76" w:lineRule="auto"/>
        <w:rPr>
          <w:rFonts w:eastAsia="Calibri" w:cs="Calibri"/>
          <w:color w:val="auto"/>
          <w:bdr w:val="none" w:sz="0" w:space="0" w:color="auto"/>
          <w:lang w:val="pl-PL" w:eastAsia="ar-SA"/>
        </w:rPr>
      </w:pP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>reprezentowanym/ą  przez:</w:t>
      </w:r>
    </w:p>
    <w:p w14:paraId="7EC90FCC" w14:textId="77777777" w:rsidR="00B937A7" w:rsidRPr="00B937A7" w:rsidRDefault="00B937A7" w:rsidP="00B937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76" w:lineRule="auto"/>
        <w:rPr>
          <w:rFonts w:eastAsia="Calibri" w:cs="Calibri"/>
          <w:color w:val="auto"/>
          <w:bdr w:val="none" w:sz="0" w:space="0" w:color="auto"/>
          <w:lang w:val="pl-PL" w:eastAsia="ar-SA"/>
        </w:rPr>
      </w:pPr>
      <w:r w:rsidRPr="00B937A7">
        <w:rPr>
          <w:rFonts w:eastAsia="Calibri" w:cs="Calibri"/>
          <w:color w:val="auto"/>
          <w:bdr w:val="none" w:sz="0" w:space="0" w:color="auto"/>
          <w:lang w:val="pl-PL" w:eastAsia="ar-SA"/>
        </w:rPr>
        <w:t>…………………………………………….</w:t>
      </w:r>
    </w:p>
    <w:p w14:paraId="7A8C8378" w14:textId="3F961C07" w:rsidR="00A44A15" w:rsidRPr="00B937A7" w:rsidRDefault="00000000">
      <w:pPr>
        <w:rPr>
          <w:rFonts w:cs="Calibri"/>
          <w:lang w:val="pl-PL"/>
        </w:rPr>
      </w:pPr>
      <w:r w:rsidRPr="00B937A7">
        <w:rPr>
          <w:rFonts w:cs="Calibri"/>
          <w:lang w:val="pl-PL"/>
        </w:rPr>
        <w:t xml:space="preserve">zwanym dalej </w:t>
      </w:r>
      <w:r w:rsidR="00B937A7">
        <w:rPr>
          <w:rFonts w:cs="Calibri"/>
          <w:lang w:val="pl-PL"/>
        </w:rPr>
        <w:t>„</w:t>
      </w:r>
      <w:r w:rsidRPr="00B937A7">
        <w:rPr>
          <w:rFonts w:cs="Calibri"/>
          <w:b/>
          <w:bCs/>
          <w:lang w:val="pl-PL"/>
        </w:rPr>
        <w:t>Przetwarzającym</w:t>
      </w:r>
      <w:r w:rsidR="00B937A7">
        <w:rPr>
          <w:rFonts w:cs="Calibri"/>
          <w:b/>
          <w:bCs/>
          <w:lang w:val="pl-PL"/>
        </w:rPr>
        <w:t>”</w:t>
      </w:r>
    </w:p>
    <w:p w14:paraId="7B9C9A6F" w14:textId="77777777" w:rsidR="00A44A15" w:rsidRPr="00D42551" w:rsidRDefault="00000000">
      <w:pPr>
        <w:jc w:val="both"/>
        <w:rPr>
          <w:i/>
          <w:iCs/>
          <w:lang w:val="pl-PL"/>
        </w:rPr>
      </w:pPr>
      <w:r w:rsidRPr="00D42551">
        <w:rPr>
          <w:i/>
          <w:iCs/>
          <w:lang w:val="pl-PL"/>
        </w:rPr>
        <w:t>Zważywszy na to, iż:</w:t>
      </w:r>
    </w:p>
    <w:p w14:paraId="41DDA0AA" w14:textId="77777777" w:rsidR="00A44A15" w:rsidRPr="00D42551" w:rsidRDefault="00000000">
      <w:pPr>
        <w:pStyle w:val="Akapitzlist"/>
        <w:numPr>
          <w:ilvl w:val="0"/>
          <w:numId w:val="2"/>
        </w:numPr>
        <w:jc w:val="both"/>
      </w:pPr>
      <w:r w:rsidRPr="00D42551">
        <w:rPr>
          <w:i/>
          <w:iCs/>
        </w:rPr>
        <w:t xml:space="preserve">dnia </w:t>
      </w:r>
      <w:r w:rsidRPr="00D42551">
        <w:rPr>
          <w:i/>
          <w:iCs/>
          <w:shd w:val="clear" w:color="auto" w:fill="FFFF00"/>
        </w:rPr>
        <w:t>____________________________</w:t>
      </w:r>
      <w:r w:rsidRPr="00D42551">
        <w:rPr>
          <w:i/>
          <w:iCs/>
        </w:rPr>
        <w:t xml:space="preserve"> Strony zawarły umowę o świadczenie usług archiwistycznych (dalej: Umowa Podstawowa).</w:t>
      </w:r>
    </w:p>
    <w:p w14:paraId="6E697BD6" w14:textId="77777777" w:rsidR="00A44A15" w:rsidRPr="00D42551" w:rsidRDefault="00000000">
      <w:pPr>
        <w:pStyle w:val="Akapitzlist"/>
        <w:numPr>
          <w:ilvl w:val="0"/>
          <w:numId w:val="2"/>
        </w:numPr>
        <w:jc w:val="both"/>
      </w:pPr>
      <w:r w:rsidRPr="00D42551">
        <w:rPr>
          <w:i/>
          <w:iCs/>
        </w:rPr>
        <w:t>w związku ze świadczeniem usługi, o której mowa powyżej, Przetwarzający ma wykonywać czynności, które stanowią przetwarzanie danych osobowych w rozumieniu art. 4 pkt 2 Rozporządzenia Parlamentu Europejskiego i Rady (UE) 2016/679 z dnia 27 kwietnia 2016 r. w sprawie ochrony osób fizycznych w związku z przetwarzaniem danych osobowych i w sprawie swobodnego przepływu takich danych oraz uchylenia dyrektywy 95/46/WE (dalej: Rozporządzenie) co do których, Administrator jest administratorem w rozumieniu art. 4 pkt 7 RODO,</w:t>
      </w:r>
    </w:p>
    <w:p w14:paraId="5FC0B807" w14:textId="77777777" w:rsidR="00A44A15" w:rsidRPr="00D42551" w:rsidRDefault="00000000">
      <w:pPr>
        <w:jc w:val="both"/>
        <w:rPr>
          <w:i/>
          <w:iCs/>
          <w:lang w:val="pl-PL"/>
        </w:rPr>
      </w:pPr>
      <w:r w:rsidRPr="00D42551">
        <w:rPr>
          <w:i/>
          <w:iCs/>
          <w:lang w:val="pl-PL"/>
        </w:rPr>
        <w:t>W celu prawidłowej realizacji Umowy Głównej oraz zapewnienia przestrzegania przepisów Rozporządzenia, Strony zawierają umowę o następującej treści:</w:t>
      </w:r>
    </w:p>
    <w:p w14:paraId="7F60C4F9" w14:textId="77777777" w:rsidR="00A44A15" w:rsidRPr="00D42551" w:rsidRDefault="00000000">
      <w:pPr>
        <w:pStyle w:val="Akapitzlist"/>
        <w:numPr>
          <w:ilvl w:val="0"/>
          <w:numId w:val="4"/>
        </w:numPr>
        <w:jc w:val="center"/>
        <w:rPr>
          <w:b/>
          <w:bCs/>
        </w:rPr>
      </w:pPr>
      <w:r w:rsidRPr="00D42551">
        <w:rPr>
          <w:b/>
          <w:bCs/>
        </w:rPr>
        <w:t>Przedmiot umowy</w:t>
      </w:r>
    </w:p>
    <w:p w14:paraId="3E717BE5" w14:textId="77777777" w:rsidR="00A44A15" w:rsidRPr="00D42551" w:rsidRDefault="00000000">
      <w:pPr>
        <w:pStyle w:val="Akapitzlist"/>
        <w:numPr>
          <w:ilvl w:val="1"/>
          <w:numId w:val="4"/>
        </w:numPr>
        <w:jc w:val="both"/>
      </w:pPr>
      <w:r w:rsidRPr="00D42551">
        <w:t>Administrator powierza Przetwarzającemu przetwarzanie danych osobowych (dalej: Dane)</w:t>
      </w:r>
    </w:p>
    <w:p w14:paraId="22AAC859" w14:textId="77777777" w:rsidR="00A44A15" w:rsidRPr="00D42551" w:rsidRDefault="00000000">
      <w:pPr>
        <w:pStyle w:val="Akapitzlist"/>
        <w:numPr>
          <w:ilvl w:val="1"/>
          <w:numId w:val="4"/>
        </w:numPr>
        <w:jc w:val="both"/>
      </w:pPr>
      <w:r w:rsidRPr="00D42551">
        <w:t>Przetwarzanie obejmowało będzie następujące kategorie danych:</w:t>
      </w:r>
    </w:p>
    <w:p w14:paraId="0CD4D51A" w14:textId="77777777" w:rsidR="00A44A15" w:rsidRPr="00D42551" w:rsidRDefault="00000000">
      <w:pPr>
        <w:pStyle w:val="Akapitzlist"/>
        <w:numPr>
          <w:ilvl w:val="1"/>
          <w:numId w:val="4"/>
        </w:numPr>
        <w:jc w:val="both"/>
      </w:pPr>
      <w:r w:rsidRPr="00D42551">
        <w:t>Przetwarzanie dotyczyć będzie następujących kategorii osób: _________ (dalej: Podmioty Danych)</w:t>
      </w:r>
    </w:p>
    <w:tbl>
      <w:tblPr>
        <w:tblStyle w:val="TableNormal"/>
        <w:tblW w:w="7885" w:type="dxa"/>
        <w:tblInd w:w="1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73"/>
        <w:gridCol w:w="5312"/>
      </w:tblGrid>
      <w:tr w:rsidR="00A44A15" w:rsidRPr="00D42551" w14:paraId="1442FC26" w14:textId="77777777">
        <w:trPr>
          <w:trHeight w:val="221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006F5" w14:textId="77777777" w:rsidR="00A44A15" w:rsidRPr="00D42551" w:rsidRDefault="00000000">
            <w:pPr>
              <w:spacing w:line="360" w:lineRule="auto"/>
              <w:jc w:val="center"/>
              <w:rPr>
                <w:lang w:val="pl-PL"/>
              </w:rPr>
            </w:pPr>
            <w:r w:rsidRPr="00D42551">
              <w:rPr>
                <w:b/>
                <w:bCs/>
                <w:lang w:val="pl-PL"/>
              </w:rPr>
              <w:t>Kategoria 1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CDE8" w14:textId="77777777" w:rsidR="00A44A15" w:rsidRPr="00D42551" w:rsidRDefault="00A44A15">
            <w:pPr>
              <w:rPr>
                <w:lang w:val="pl-PL"/>
              </w:rPr>
            </w:pPr>
          </w:p>
        </w:tc>
      </w:tr>
      <w:tr w:rsidR="00A44A15" w:rsidRPr="00D42551" w14:paraId="04C91E37" w14:textId="77777777">
        <w:trPr>
          <w:trHeight w:val="221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0007D" w14:textId="77777777" w:rsidR="00A44A15" w:rsidRPr="00D42551" w:rsidRDefault="00000000">
            <w:pPr>
              <w:spacing w:after="0" w:line="360" w:lineRule="auto"/>
              <w:jc w:val="center"/>
              <w:rPr>
                <w:lang w:val="pl-PL"/>
              </w:rPr>
            </w:pPr>
            <w:r w:rsidRPr="00D42551">
              <w:rPr>
                <w:b/>
                <w:bCs/>
                <w:lang w:val="pl-PL"/>
              </w:rPr>
              <w:t>Kategoria 2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AE94" w14:textId="77777777" w:rsidR="00A44A15" w:rsidRPr="00D42551" w:rsidRDefault="00A44A15">
            <w:pPr>
              <w:rPr>
                <w:lang w:val="pl-PL"/>
              </w:rPr>
            </w:pPr>
          </w:p>
        </w:tc>
      </w:tr>
      <w:tr w:rsidR="00A44A15" w:rsidRPr="00D42551" w14:paraId="4B1642AB" w14:textId="77777777">
        <w:trPr>
          <w:trHeight w:val="221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CB2B" w14:textId="77777777" w:rsidR="00A44A15" w:rsidRPr="00D42551" w:rsidRDefault="00000000">
            <w:pPr>
              <w:spacing w:after="0" w:line="360" w:lineRule="auto"/>
              <w:jc w:val="center"/>
              <w:rPr>
                <w:lang w:val="pl-PL"/>
              </w:rPr>
            </w:pPr>
            <w:r w:rsidRPr="00D42551">
              <w:rPr>
                <w:b/>
                <w:bCs/>
                <w:lang w:val="pl-PL"/>
              </w:rPr>
              <w:t>Kategoria 3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70A63" w14:textId="77777777" w:rsidR="00A44A15" w:rsidRPr="00D42551" w:rsidRDefault="00A44A15">
            <w:pPr>
              <w:rPr>
                <w:lang w:val="pl-PL"/>
              </w:rPr>
            </w:pPr>
          </w:p>
        </w:tc>
      </w:tr>
      <w:tr w:rsidR="00A44A15" w:rsidRPr="00D42551" w14:paraId="38187BAA" w14:textId="77777777">
        <w:trPr>
          <w:trHeight w:val="221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877A2" w14:textId="030B13C0" w:rsidR="00A44A15" w:rsidRPr="00D42551" w:rsidRDefault="00000000">
            <w:pPr>
              <w:spacing w:after="0" w:line="360" w:lineRule="auto"/>
              <w:jc w:val="center"/>
              <w:rPr>
                <w:lang w:val="pl-PL"/>
              </w:rPr>
            </w:pPr>
            <w:r w:rsidRPr="00D42551">
              <w:rPr>
                <w:b/>
                <w:bCs/>
                <w:lang w:val="pl-PL"/>
              </w:rPr>
              <w:t>Kat</w:t>
            </w:r>
            <w:r w:rsidR="00D42551">
              <w:rPr>
                <w:b/>
                <w:bCs/>
                <w:lang w:val="pl-PL"/>
              </w:rPr>
              <w:t>e</w:t>
            </w:r>
            <w:r w:rsidRPr="00D42551">
              <w:rPr>
                <w:b/>
                <w:bCs/>
                <w:lang w:val="pl-PL"/>
              </w:rPr>
              <w:t>goria 4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24FB4" w14:textId="77777777" w:rsidR="00A44A15" w:rsidRPr="00D42551" w:rsidRDefault="00A44A15">
            <w:pPr>
              <w:rPr>
                <w:lang w:val="pl-PL"/>
              </w:rPr>
            </w:pPr>
          </w:p>
        </w:tc>
      </w:tr>
    </w:tbl>
    <w:p w14:paraId="1E4D0958" w14:textId="77777777" w:rsidR="00A44A15" w:rsidRPr="00D42551" w:rsidRDefault="00A44A15">
      <w:pPr>
        <w:pStyle w:val="Akapitzlist"/>
        <w:widowControl w:val="0"/>
        <w:numPr>
          <w:ilvl w:val="1"/>
          <w:numId w:val="5"/>
        </w:numPr>
        <w:spacing w:line="240" w:lineRule="auto"/>
        <w:jc w:val="both"/>
      </w:pPr>
    </w:p>
    <w:p w14:paraId="0C6C2D9E" w14:textId="77777777" w:rsidR="00A44A15" w:rsidRPr="00D42551" w:rsidRDefault="00000000">
      <w:pPr>
        <w:jc w:val="both"/>
        <w:rPr>
          <w:i/>
          <w:iCs/>
          <w:lang w:val="pl-PL"/>
        </w:rPr>
      </w:pPr>
      <w:r w:rsidRPr="00D42551">
        <w:rPr>
          <w:i/>
          <w:iCs/>
          <w:lang w:val="pl-PL"/>
        </w:rPr>
        <w:lastRenderedPageBreak/>
        <w:t>*nadliczbowe rubryki skreślić</w:t>
      </w:r>
    </w:p>
    <w:p w14:paraId="2D1EC62A" w14:textId="77777777" w:rsidR="00A44A15" w:rsidRPr="00D42551" w:rsidRDefault="00000000">
      <w:pPr>
        <w:pStyle w:val="Akapitzlist"/>
        <w:numPr>
          <w:ilvl w:val="1"/>
          <w:numId w:val="6"/>
        </w:numPr>
        <w:jc w:val="both"/>
      </w:pPr>
      <w:r w:rsidRPr="00D42551">
        <w:t>Przetwarzanie obejmowało będzie następujące kategorie danych, dla poszczególnych kategorii osób wskazanych w ust. 3</w:t>
      </w:r>
    </w:p>
    <w:tbl>
      <w:tblPr>
        <w:tblStyle w:val="TableNormal"/>
        <w:tblW w:w="7885" w:type="dxa"/>
        <w:tblInd w:w="1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73"/>
        <w:gridCol w:w="5312"/>
      </w:tblGrid>
      <w:tr w:rsidR="00A44A15" w:rsidRPr="00D42551" w14:paraId="09813E3C" w14:textId="77777777">
        <w:trPr>
          <w:trHeight w:val="221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02D7" w14:textId="77777777" w:rsidR="00A44A15" w:rsidRPr="00D42551" w:rsidRDefault="00000000">
            <w:pPr>
              <w:spacing w:line="360" w:lineRule="auto"/>
              <w:jc w:val="center"/>
              <w:rPr>
                <w:lang w:val="pl-PL"/>
              </w:rPr>
            </w:pPr>
            <w:r w:rsidRPr="00D42551">
              <w:rPr>
                <w:b/>
                <w:bCs/>
                <w:lang w:val="pl-PL"/>
              </w:rPr>
              <w:t>Kategoria 1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AB3D2" w14:textId="77777777" w:rsidR="00A44A15" w:rsidRPr="00D42551" w:rsidRDefault="00A44A15">
            <w:pPr>
              <w:rPr>
                <w:lang w:val="pl-PL"/>
              </w:rPr>
            </w:pPr>
          </w:p>
        </w:tc>
      </w:tr>
      <w:tr w:rsidR="00A44A15" w:rsidRPr="00D42551" w14:paraId="75844873" w14:textId="77777777">
        <w:trPr>
          <w:trHeight w:val="221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D2717" w14:textId="77777777" w:rsidR="00A44A15" w:rsidRPr="00D42551" w:rsidRDefault="00000000">
            <w:pPr>
              <w:spacing w:after="0" w:line="360" w:lineRule="auto"/>
              <w:jc w:val="center"/>
              <w:rPr>
                <w:lang w:val="pl-PL"/>
              </w:rPr>
            </w:pPr>
            <w:r w:rsidRPr="00D42551">
              <w:rPr>
                <w:b/>
                <w:bCs/>
                <w:lang w:val="pl-PL"/>
              </w:rPr>
              <w:t>Kategoria 2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16609" w14:textId="77777777" w:rsidR="00A44A15" w:rsidRPr="00D42551" w:rsidRDefault="00A44A15">
            <w:pPr>
              <w:rPr>
                <w:lang w:val="pl-PL"/>
              </w:rPr>
            </w:pPr>
          </w:p>
        </w:tc>
      </w:tr>
      <w:tr w:rsidR="00A44A15" w:rsidRPr="00D42551" w14:paraId="31EB1518" w14:textId="77777777">
        <w:trPr>
          <w:trHeight w:val="221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C542B" w14:textId="77777777" w:rsidR="00A44A15" w:rsidRPr="00D42551" w:rsidRDefault="00000000">
            <w:pPr>
              <w:spacing w:after="0" w:line="360" w:lineRule="auto"/>
              <w:jc w:val="center"/>
              <w:rPr>
                <w:lang w:val="pl-PL"/>
              </w:rPr>
            </w:pPr>
            <w:r w:rsidRPr="00D42551">
              <w:rPr>
                <w:b/>
                <w:bCs/>
                <w:lang w:val="pl-PL"/>
              </w:rPr>
              <w:t>Kategoria 3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5E125" w14:textId="77777777" w:rsidR="00A44A15" w:rsidRPr="00D42551" w:rsidRDefault="00A44A15">
            <w:pPr>
              <w:rPr>
                <w:lang w:val="pl-PL"/>
              </w:rPr>
            </w:pPr>
          </w:p>
        </w:tc>
      </w:tr>
      <w:tr w:rsidR="00A44A15" w:rsidRPr="00D42551" w14:paraId="5F6E0351" w14:textId="77777777">
        <w:trPr>
          <w:trHeight w:val="221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50C97" w14:textId="5440FA70" w:rsidR="00A44A15" w:rsidRPr="00D42551" w:rsidRDefault="00000000">
            <w:pPr>
              <w:spacing w:after="0" w:line="360" w:lineRule="auto"/>
              <w:jc w:val="center"/>
              <w:rPr>
                <w:lang w:val="pl-PL"/>
              </w:rPr>
            </w:pPr>
            <w:r w:rsidRPr="00D42551">
              <w:rPr>
                <w:b/>
                <w:bCs/>
                <w:lang w:val="pl-PL"/>
              </w:rPr>
              <w:t>Kat</w:t>
            </w:r>
            <w:r w:rsidR="00D42551">
              <w:rPr>
                <w:b/>
                <w:bCs/>
                <w:lang w:val="pl-PL"/>
              </w:rPr>
              <w:t>e</w:t>
            </w:r>
            <w:r w:rsidRPr="00D42551">
              <w:rPr>
                <w:b/>
                <w:bCs/>
                <w:lang w:val="pl-PL"/>
              </w:rPr>
              <w:t>goria 4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0D2A6" w14:textId="77777777" w:rsidR="00A44A15" w:rsidRPr="00D42551" w:rsidRDefault="00A44A15">
            <w:pPr>
              <w:rPr>
                <w:lang w:val="pl-PL"/>
              </w:rPr>
            </w:pPr>
          </w:p>
        </w:tc>
      </w:tr>
    </w:tbl>
    <w:p w14:paraId="1A82328A" w14:textId="77777777" w:rsidR="00A44A15" w:rsidRPr="00D42551" w:rsidRDefault="00A44A15">
      <w:pPr>
        <w:pStyle w:val="Akapitzlist"/>
        <w:widowControl w:val="0"/>
        <w:numPr>
          <w:ilvl w:val="1"/>
          <w:numId w:val="5"/>
        </w:numPr>
        <w:spacing w:line="240" w:lineRule="auto"/>
        <w:jc w:val="both"/>
      </w:pPr>
    </w:p>
    <w:p w14:paraId="0FD99221" w14:textId="77777777" w:rsidR="00A44A15" w:rsidRPr="00D42551" w:rsidRDefault="00A44A15">
      <w:pPr>
        <w:jc w:val="both"/>
        <w:rPr>
          <w:lang w:val="pl-PL"/>
        </w:rPr>
      </w:pPr>
    </w:p>
    <w:p w14:paraId="28C7C618" w14:textId="77777777" w:rsidR="00A44A15" w:rsidRPr="00D42551" w:rsidRDefault="00000000">
      <w:pPr>
        <w:pStyle w:val="Akapitzlist"/>
        <w:numPr>
          <w:ilvl w:val="1"/>
          <w:numId w:val="7"/>
        </w:numPr>
        <w:jc w:val="both"/>
      </w:pPr>
      <w:r w:rsidRPr="00D42551">
        <w:t>Powierzający uprawniony jest do dokonywania następujących operacji na Danych: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 – które są w minimalnym zakresie niezbędne do realizacji celu powierzenia.</w:t>
      </w:r>
    </w:p>
    <w:p w14:paraId="130752D9" w14:textId="77777777" w:rsidR="00A44A15" w:rsidRPr="00D42551" w:rsidRDefault="00000000">
      <w:pPr>
        <w:pStyle w:val="Akapitzlist"/>
        <w:numPr>
          <w:ilvl w:val="1"/>
          <w:numId w:val="4"/>
        </w:numPr>
        <w:jc w:val="both"/>
      </w:pPr>
      <w:r w:rsidRPr="00D42551">
        <w:t>Cel i charakter przetwarzania określony jest świadczeniem przez Przetwarzającego na rzecz Administratora usług archiwistycznych na podstawie Umowy Podstawowej.</w:t>
      </w:r>
    </w:p>
    <w:p w14:paraId="1B02174A" w14:textId="77777777" w:rsidR="00A44A15" w:rsidRPr="00D42551" w:rsidRDefault="00000000">
      <w:pPr>
        <w:pStyle w:val="Akapitzlist"/>
        <w:numPr>
          <w:ilvl w:val="0"/>
          <w:numId w:val="8"/>
        </w:numPr>
        <w:jc w:val="center"/>
        <w:rPr>
          <w:b/>
          <w:bCs/>
        </w:rPr>
      </w:pPr>
      <w:r w:rsidRPr="00D42551">
        <w:rPr>
          <w:b/>
          <w:bCs/>
        </w:rPr>
        <w:t>Obowiązki Przetwarzającego</w:t>
      </w:r>
    </w:p>
    <w:p w14:paraId="3A443E29" w14:textId="77777777" w:rsidR="00A44A15" w:rsidRPr="00D42551" w:rsidRDefault="00000000">
      <w:pPr>
        <w:pStyle w:val="Akapitzlist"/>
        <w:numPr>
          <w:ilvl w:val="1"/>
          <w:numId w:val="4"/>
        </w:numPr>
        <w:jc w:val="both"/>
      </w:pPr>
      <w:r w:rsidRPr="00D42551">
        <w:t>Przetwarzający oświadcza, że wdrożył odpowiednie środki techniczne i organizacyjne aby zapewnić, że przetwarzanie Danych będzie spełniało wymogi Rozporządzania, a w szczególności wszelkie środki wymagane na mocy art. 32 Rozporządzenia.</w:t>
      </w:r>
    </w:p>
    <w:p w14:paraId="67118149" w14:textId="77777777" w:rsidR="00A44A15" w:rsidRPr="00D42551" w:rsidRDefault="00000000">
      <w:pPr>
        <w:pStyle w:val="Akapitzlist"/>
        <w:numPr>
          <w:ilvl w:val="1"/>
          <w:numId w:val="4"/>
        </w:numPr>
        <w:jc w:val="both"/>
      </w:pPr>
      <w:r w:rsidRPr="00D42551">
        <w:t>Przetwarzający przetwarza Dane wyłącznie na udokumentowane polecenie Administratora.</w:t>
      </w:r>
    </w:p>
    <w:p w14:paraId="2599B7EB" w14:textId="77777777" w:rsidR="00A44A15" w:rsidRPr="00D42551" w:rsidRDefault="00000000">
      <w:pPr>
        <w:pStyle w:val="Akapitzlist"/>
        <w:numPr>
          <w:ilvl w:val="1"/>
          <w:numId w:val="4"/>
        </w:numPr>
        <w:jc w:val="both"/>
      </w:pPr>
      <w:r w:rsidRPr="00D42551">
        <w:t>Przetwarzający niezwłocznie informuje Administratora Danych, jeżeli jego zdaniem wydane mu polecenie stanowi naruszenie Rozporządzenia lub innych przepisów o ochronie danych osobowych.</w:t>
      </w:r>
    </w:p>
    <w:p w14:paraId="15318984" w14:textId="77777777" w:rsidR="00A44A15" w:rsidRPr="00D42551" w:rsidRDefault="00000000">
      <w:pPr>
        <w:pStyle w:val="Akapitzlist"/>
        <w:numPr>
          <w:ilvl w:val="1"/>
          <w:numId w:val="4"/>
        </w:numPr>
        <w:jc w:val="both"/>
      </w:pPr>
      <w:r w:rsidRPr="00D42551">
        <w:t>Przetwarzający zapewnia, aby osoby upoważnione do przetwarzania Danych mu podlegającego zobowiązały się do zachowania Danych w tajemnicy lub by podlegały odpowiedniemu ustawowemu obowiązkowi zachowania tajemnicy.</w:t>
      </w:r>
    </w:p>
    <w:p w14:paraId="287549F2" w14:textId="77777777" w:rsidR="00A44A15" w:rsidRPr="00D42551" w:rsidRDefault="00000000">
      <w:pPr>
        <w:pStyle w:val="Akapitzlist"/>
        <w:numPr>
          <w:ilvl w:val="1"/>
          <w:numId w:val="4"/>
        </w:numPr>
        <w:jc w:val="both"/>
      </w:pPr>
      <w:r w:rsidRPr="00D42551">
        <w:t>Przetwarzający zobowiązany jest do współpracy z Administratorem w realizacji obowiązków, o których mowa w art. 32-36 Rozporządzenia, z uwzględnieniem charakteru przetwarzania oraz posiadanego zakresu informacji.</w:t>
      </w:r>
    </w:p>
    <w:p w14:paraId="36A29D36" w14:textId="77777777" w:rsidR="00A44A15" w:rsidRPr="00D42551" w:rsidRDefault="00000000">
      <w:pPr>
        <w:pStyle w:val="Akapitzlist"/>
        <w:numPr>
          <w:ilvl w:val="1"/>
          <w:numId w:val="4"/>
        </w:numPr>
        <w:jc w:val="both"/>
      </w:pPr>
      <w:r w:rsidRPr="00D42551">
        <w:t>Przetwarzający zobowiązany jest do pomocy Administratorowi w zakresie realizacji praw Podmiotu Danych, o których mowa w rozdziale III Rozporządzenia.</w:t>
      </w:r>
    </w:p>
    <w:p w14:paraId="1775E15C" w14:textId="77777777" w:rsidR="00A44A15" w:rsidRPr="00D42551" w:rsidRDefault="00000000">
      <w:pPr>
        <w:pStyle w:val="Akapitzlist"/>
        <w:numPr>
          <w:ilvl w:val="0"/>
          <w:numId w:val="4"/>
        </w:numPr>
        <w:jc w:val="center"/>
        <w:rPr>
          <w:b/>
          <w:bCs/>
        </w:rPr>
      </w:pPr>
      <w:r w:rsidRPr="00D42551">
        <w:rPr>
          <w:b/>
          <w:bCs/>
        </w:rPr>
        <w:t>Dalsze powierzenie przetwarzania</w:t>
      </w:r>
    </w:p>
    <w:p w14:paraId="20533781" w14:textId="77777777" w:rsidR="00A44A15" w:rsidRPr="00D42551" w:rsidRDefault="00000000">
      <w:pPr>
        <w:pStyle w:val="Akapitzlist"/>
        <w:numPr>
          <w:ilvl w:val="1"/>
          <w:numId w:val="4"/>
        </w:numPr>
        <w:jc w:val="both"/>
      </w:pPr>
      <w:r w:rsidRPr="00D42551">
        <w:lastRenderedPageBreak/>
        <w:t>Przetwarzający uprawniony jest do dokonania dalszego powierzenia przetwarzania Danych.</w:t>
      </w:r>
    </w:p>
    <w:p w14:paraId="3385025E" w14:textId="77777777" w:rsidR="00A44A15" w:rsidRPr="00D42551" w:rsidRDefault="00000000">
      <w:pPr>
        <w:pStyle w:val="Akapitzlist"/>
        <w:numPr>
          <w:ilvl w:val="1"/>
          <w:numId w:val="4"/>
        </w:numPr>
        <w:jc w:val="both"/>
      </w:pPr>
      <w:r w:rsidRPr="00D42551">
        <w:t>Przetwarzający będzie korzystał z następujących dalszych przetwarzających, na co Administrator wyraża zgodę:</w:t>
      </w:r>
    </w:p>
    <w:p w14:paraId="10B893F6" w14:textId="77777777" w:rsidR="00A44A15" w:rsidRPr="00D42551" w:rsidRDefault="00000000">
      <w:pPr>
        <w:pStyle w:val="Akapitzlist"/>
        <w:numPr>
          <w:ilvl w:val="2"/>
          <w:numId w:val="4"/>
        </w:numPr>
        <w:jc w:val="both"/>
      </w:pPr>
      <w:r w:rsidRPr="00D42551">
        <w:rPr>
          <w:shd w:val="clear" w:color="auto" w:fill="FFFF00"/>
        </w:rPr>
        <w:t>_______________</w:t>
      </w:r>
    </w:p>
    <w:p w14:paraId="1411069B" w14:textId="77777777" w:rsidR="00A44A15" w:rsidRPr="00D42551" w:rsidRDefault="00000000">
      <w:pPr>
        <w:pStyle w:val="Akapitzlist"/>
        <w:numPr>
          <w:ilvl w:val="2"/>
          <w:numId w:val="4"/>
        </w:numPr>
        <w:jc w:val="both"/>
      </w:pPr>
      <w:r w:rsidRPr="00D42551">
        <w:rPr>
          <w:shd w:val="clear" w:color="auto" w:fill="FFFF00"/>
        </w:rPr>
        <w:t>_______________</w:t>
      </w:r>
    </w:p>
    <w:p w14:paraId="6C3731A9" w14:textId="77777777" w:rsidR="00A44A15" w:rsidRPr="00D42551" w:rsidRDefault="00000000">
      <w:pPr>
        <w:pStyle w:val="Akapitzlist"/>
        <w:numPr>
          <w:ilvl w:val="1"/>
          <w:numId w:val="4"/>
        </w:numPr>
        <w:jc w:val="both"/>
      </w:pPr>
      <w:r w:rsidRPr="00D42551">
        <w:t>Przetwarzający zobowiązany jest zawiadomić Administratora z pięciodniowym wyprzedzeniem o wszelkich zmianach w zakresie dalszych przetwarzających, który to w tym terminie może z uzasadnionych względów wnieść sprzeciw wobec dalszego powierzenia.</w:t>
      </w:r>
    </w:p>
    <w:p w14:paraId="1C7919EE" w14:textId="77777777" w:rsidR="00A44A15" w:rsidRPr="00D42551" w:rsidRDefault="00000000">
      <w:pPr>
        <w:pStyle w:val="Akapitzlist"/>
        <w:numPr>
          <w:ilvl w:val="0"/>
          <w:numId w:val="4"/>
        </w:numPr>
        <w:jc w:val="center"/>
        <w:rPr>
          <w:b/>
          <w:bCs/>
        </w:rPr>
      </w:pPr>
      <w:r w:rsidRPr="00D42551">
        <w:rPr>
          <w:b/>
          <w:bCs/>
        </w:rPr>
        <w:t>Prawo kontroli</w:t>
      </w:r>
    </w:p>
    <w:p w14:paraId="6CE48AE9" w14:textId="77777777" w:rsidR="00A44A15" w:rsidRPr="00D42551" w:rsidRDefault="00000000">
      <w:pPr>
        <w:pStyle w:val="Akapitzlist"/>
        <w:numPr>
          <w:ilvl w:val="1"/>
          <w:numId w:val="10"/>
        </w:numPr>
        <w:jc w:val="both"/>
      </w:pPr>
      <w:r w:rsidRPr="00D42551">
        <w:t>Administrator ma prawo kontroli prawidłowości przetwarzania powierzonych Danych przez Przetwarzającego (dalej: Audyt).</w:t>
      </w:r>
    </w:p>
    <w:p w14:paraId="16B2097A" w14:textId="77777777" w:rsidR="00A44A15" w:rsidRPr="00D42551" w:rsidRDefault="00000000">
      <w:pPr>
        <w:pStyle w:val="Akapitzlist"/>
        <w:numPr>
          <w:ilvl w:val="1"/>
          <w:numId w:val="10"/>
        </w:numPr>
        <w:jc w:val="both"/>
      </w:pPr>
      <w:r w:rsidRPr="00D42551">
        <w:t>Audyt realizowany jest przez osobę upoważnioną przez Administratora (dalej: Audytor).</w:t>
      </w:r>
    </w:p>
    <w:p w14:paraId="47225879" w14:textId="77777777" w:rsidR="00A44A15" w:rsidRPr="00D42551" w:rsidRDefault="00000000">
      <w:pPr>
        <w:pStyle w:val="Akapitzlist"/>
        <w:numPr>
          <w:ilvl w:val="1"/>
          <w:numId w:val="10"/>
        </w:numPr>
        <w:jc w:val="both"/>
      </w:pPr>
      <w:r w:rsidRPr="00D42551">
        <w:t>Audyt wymaga powiadomienia Przetwarzającego za co najmniej 7-dniowym wyprzedzeniem.</w:t>
      </w:r>
    </w:p>
    <w:p w14:paraId="0BA8FAEB" w14:textId="77777777" w:rsidR="00A44A15" w:rsidRPr="00D42551" w:rsidRDefault="00000000">
      <w:pPr>
        <w:pStyle w:val="Akapitzlist"/>
        <w:numPr>
          <w:ilvl w:val="1"/>
          <w:numId w:val="10"/>
        </w:numPr>
        <w:jc w:val="both"/>
      </w:pPr>
      <w:r w:rsidRPr="00D42551">
        <w:t>Przetwarzający zapewni Audytorowi dostęp do wszelkich niezbędnych pomieszczeń, dokumentów, systemów informatycznych oraz możliwość kontaktu z osobami zatrudnionymi w przedsiębiorstwie Przetwarzającego, zaangażowanymi w przetwarzanie Danych.</w:t>
      </w:r>
    </w:p>
    <w:p w14:paraId="6CAEBE7E" w14:textId="77777777" w:rsidR="00A44A15" w:rsidRPr="00D42551" w:rsidRDefault="00000000">
      <w:pPr>
        <w:pStyle w:val="Akapitzlist"/>
        <w:numPr>
          <w:ilvl w:val="1"/>
          <w:numId w:val="10"/>
        </w:numPr>
        <w:jc w:val="both"/>
      </w:pPr>
      <w:r w:rsidRPr="00D42551">
        <w:t>Przetwarzający ma obowiązek aktywnego uczestniczenia w Audycie i przyczyniania się do niego.</w:t>
      </w:r>
    </w:p>
    <w:p w14:paraId="06CEDFAA" w14:textId="77777777" w:rsidR="00A44A15" w:rsidRPr="00D42551" w:rsidRDefault="00000000">
      <w:pPr>
        <w:pStyle w:val="Akapitzlist"/>
        <w:numPr>
          <w:ilvl w:val="1"/>
          <w:numId w:val="10"/>
        </w:numPr>
        <w:jc w:val="both"/>
      </w:pPr>
      <w:r w:rsidRPr="00D42551">
        <w:t>Audyt przeprowadzony przez Administratora zakończony zostanie protokołem kontroli podpisanym przez Audytora oraz reprezentanta Przetwarzającego.</w:t>
      </w:r>
    </w:p>
    <w:p w14:paraId="496721D9" w14:textId="77777777" w:rsidR="00A44A15" w:rsidRPr="00D42551" w:rsidRDefault="00000000">
      <w:pPr>
        <w:pStyle w:val="Akapitzlist"/>
        <w:numPr>
          <w:ilvl w:val="1"/>
          <w:numId w:val="10"/>
        </w:numPr>
        <w:jc w:val="both"/>
      </w:pPr>
      <w:r w:rsidRPr="00D42551">
        <w:t>Audytora zobowiązany jest do podpisania przed rozpoczęciem Audytu zobowiązania do poufności w zakresie danych, których administratorem jest Przetwarzający oraz w zakresie należącej do niego tajemnicy przedsiębiorstwa.</w:t>
      </w:r>
    </w:p>
    <w:p w14:paraId="148A584D" w14:textId="77777777" w:rsidR="00A44A15" w:rsidRPr="00D42551" w:rsidRDefault="00000000">
      <w:pPr>
        <w:pStyle w:val="Akapitzlist"/>
        <w:numPr>
          <w:ilvl w:val="1"/>
          <w:numId w:val="10"/>
        </w:numPr>
        <w:jc w:val="both"/>
      </w:pPr>
      <w:r w:rsidRPr="00D42551">
        <w:t>Przetwarzający ma obowiązek udostępniania Administratorowi wszelkich informacji potrzebnych do wykazania spełnienia przez niego obowiązków, o których mowa w art. 28 Rozporządzenia.</w:t>
      </w:r>
    </w:p>
    <w:p w14:paraId="1A6A4CFA" w14:textId="77777777" w:rsidR="00A44A15" w:rsidRPr="00D42551" w:rsidRDefault="00000000">
      <w:pPr>
        <w:pStyle w:val="Akapitzlist"/>
        <w:numPr>
          <w:ilvl w:val="1"/>
          <w:numId w:val="10"/>
        </w:numPr>
        <w:jc w:val="both"/>
      </w:pPr>
      <w:r w:rsidRPr="00D42551">
        <w:t>Administrator zobowiązany jest do zwrotu Przetwarzającemu wszelkich kosztów związanych z poddaniem się przez niego Audytowi, a w szczególności szkody rzeczywistej i utraconych korzyści związanych z wyłączeniem osób zatrudnionych u Przetwarzającego z wykonywania obowiązków służbowych.</w:t>
      </w:r>
    </w:p>
    <w:p w14:paraId="7B17E5D6" w14:textId="77777777" w:rsidR="00A44A15" w:rsidRPr="00D42551" w:rsidRDefault="00000000">
      <w:pPr>
        <w:pStyle w:val="Akapitzlist"/>
        <w:numPr>
          <w:ilvl w:val="0"/>
          <w:numId w:val="11"/>
        </w:numPr>
        <w:jc w:val="center"/>
        <w:rPr>
          <w:b/>
          <w:bCs/>
        </w:rPr>
      </w:pPr>
      <w:r w:rsidRPr="00D42551">
        <w:rPr>
          <w:b/>
          <w:bCs/>
        </w:rPr>
        <w:t>Wynagrodzenie</w:t>
      </w:r>
    </w:p>
    <w:p w14:paraId="5ED94CD5" w14:textId="77777777" w:rsidR="00A44A15" w:rsidRPr="00D42551" w:rsidRDefault="00000000">
      <w:pPr>
        <w:pStyle w:val="Akapitzlist"/>
        <w:numPr>
          <w:ilvl w:val="1"/>
          <w:numId w:val="4"/>
        </w:numPr>
        <w:jc w:val="both"/>
        <w:rPr>
          <w:b/>
          <w:bCs/>
        </w:rPr>
      </w:pPr>
      <w:r w:rsidRPr="00D42551">
        <w:t>Przetwarzanie Danych przez Przetwarzającego następuje bez dodatkowego wynagrodzenia, a w ramach wynagrodzenia przewidzianego w Umowie Podstawowej.</w:t>
      </w:r>
    </w:p>
    <w:p w14:paraId="51657E97" w14:textId="77777777" w:rsidR="00A44A15" w:rsidRPr="00D42551" w:rsidRDefault="00000000">
      <w:pPr>
        <w:pStyle w:val="Akapitzlist"/>
        <w:numPr>
          <w:ilvl w:val="0"/>
          <w:numId w:val="4"/>
        </w:numPr>
        <w:jc w:val="center"/>
        <w:rPr>
          <w:b/>
          <w:bCs/>
        </w:rPr>
      </w:pPr>
      <w:r w:rsidRPr="00D42551">
        <w:rPr>
          <w:b/>
          <w:bCs/>
        </w:rPr>
        <w:t>Czas trwania Umowy i jej rozwiązanie</w:t>
      </w:r>
    </w:p>
    <w:p w14:paraId="3DB64052" w14:textId="77777777" w:rsidR="00A44A15" w:rsidRPr="00D42551" w:rsidRDefault="00000000">
      <w:pPr>
        <w:pStyle w:val="Akapitzlist"/>
        <w:numPr>
          <w:ilvl w:val="1"/>
          <w:numId w:val="13"/>
        </w:numPr>
        <w:jc w:val="both"/>
      </w:pPr>
      <w:r w:rsidRPr="00D42551">
        <w:lastRenderedPageBreak/>
        <w:t>Niniejsza umowa została zawarta na czas obowiązywania Umowy Podstawowej.</w:t>
      </w:r>
    </w:p>
    <w:p w14:paraId="13CE5EFC" w14:textId="77777777" w:rsidR="00A44A15" w:rsidRPr="00D42551" w:rsidRDefault="00000000">
      <w:pPr>
        <w:pStyle w:val="Akapitzlist"/>
        <w:numPr>
          <w:ilvl w:val="1"/>
          <w:numId w:val="13"/>
        </w:numPr>
        <w:jc w:val="both"/>
      </w:pPr>
      <w:r w:rsidRPr="00D42551">
        <w:t>Niezależnie od postanowień Umowy Podstawowej, naruszenie przez Przetwarzającego postanowień niniejszej umowy lub przepisów Rozporządzenia wobec danych objętych niniejszą umową, uprawnia Administratora do natychmiastowego rozwiązania zarówno niniejszej Umowy jak i Umowy Podstawowej z winy Przetwarzającego.</w:t>
      </w:r>
    </w:p>
    <w:p w14:paraId="6F1EB12D" w14:textId="77777777" w:rsidR="00A44A15" w:rsidRPr="00D42551" w:rsidRDefault="00000000">
      <w:pPr>
        <w:pStyle w:val="Akapitzlist"/>
        <w:numPr>
          <w:ilvl w:val="1"/>
          <w:numId w:val="13"/>
        </w:numPr>
        <w:jc w:val="both"/>
      </w:pPr>
      <w:r w:rsidRPr="00D42551">
        <w:t xml:space="preserve">Jeżeli Umowa Podstawowa nie stanowi inaczej, w przypadku rozwiązania Umowy, Przetwarzający na co najmniej 3 dni przed jej rozwiązaniem, jeśli jego data jest znana, w terminie maksymalnie 3 dni po jej rozwiązaniu, jeśli następuje natychmiastowo, przekazuje na własny koszt Administratorowi dane przechowywane w formie </w:t>
      </w:r>
      <w:proofErr w:type="spellStart"/>
      <w:r w:rsidRPr="00D42551">
        <w:t>niezdigitalizowanej</w:t>
      </w:r>
      <w:proofErr w:type="spellEnd"/>
      <w:r w:rsidRPr="00D42551">
        <w:t xml:space="preserve"> (w szczególności wydaje oryginały dokumentów), a w odniesieniu do danych </w:t>
      </w:r>
      <w:proofErr w:type="spellStart"/>
      <w:r w:rsidRPr="00D42551">
        <w:t>zdigitalizowanych</w:t>
      </w:r>
      <w:proofErr w:type="spellEnd"/>
      <w:r w:rsidRPr="00D42551">
        <w:t xml:space="preserve"> – wydaje kopie danych na przenośnym nośniku cyfrowym.</w:t>
      </w:r>
    </w:p>
    <w:p w14:paraId="077FFE11" w14:textId="77777777" w:rsidR="00A44A15" w:rsidRPr="00D42551" w:rsidRDefault="00000000">
      <w:pPr>
        <w:pStyle w:val="Akapitzlist"/>
        <w:numPr>
          <w:ilvl w:val="1"/>
          <w:numId w:val="13"/>
        </w:numPr>
        <w:jc w:val="both"/>
      </w:pPr>
      <w:r w:rsidRPr="00D42551">
        <w:t>Po realizacji obowiązków, o których mowa w ust. powyższym, w braku innych poleceń Administratora, Przetwarzający niezwłocznie dokonuje trwałego usunięcia danych, które znajdują się w jego posiadaniu, co stwierdza stosownym protokołem. Na żądanie Administratora Przetwarzający zobowiązany jest do zapewnienia udziału jego przedstawiciela w powyższej czynności.</w:t>
      </w:r>
    </w:p>
    <w:p w14:paraId="5442893F" w14:textId="77777777" w:rsidR="00A44A15" w:rsidRPr="00D42551" w:rsidRDefault="00000000">
      <w:pPr>
        <w:pStyle w:val="Akapitzlist"/>
        <w:numPr>
          <w:ilvl w:val="0"/>
          <w:numId w:val="14"/>
        </w:numPr>
        <w:jc w:val="center"/>
        <w:rPr>
          <w:b/>
          <w:bCs/>
        </w:rPr>
      </w:pPr>
      <w:r w:rsidRPr="00D42551">
        <w:rPr>
          <w:b/>
          <w:bCs/>
        </w:rPr>
        <w:t xml:space="preserve">Odpowiedzialność </w:t>
      </w:r>
    </w:p>
    <w:p w14:paraId="17982323" w14:textId="77777777" w:rsidR="00A44A15" w:rsidRPr="00D42551" w:rsidRDefault="00000000">
      <w:pPr>
        <w:pStyle w:val="Akapitzlist"/>
        <w:numPr>
          <w:ilvl w:val="1"/>
          <w:numId w:val="16"/>
        </w:numPr>
        <w:jc w:val="both"/>
      </w:pPr>
      <w:r w:rsidRPr="00D42551">
        <w:t>Łączna kwota świadczeń o charakterze odszkodowawczych z tytułu naruszenia niniejszej  Umowy wobec Administratora nie może przekroczyć łącznej kwoty wynagrodzenia wypłaconej na podstawie Umowy Podstawowej.</w:t>
      </w:r>
    </w:p>
    <w:p w14:paraId="4288A2BF" w14:textId="77777777" w:rsidR="00A44A15" w:rsidRPr="00D42551" w:rsidRDefault="00000000">
      <w:pPr>
        <w:pStyle w:val="Akapitzlist"/>
        <w:numPr>
          <w:ilvl w:val="1"/>
          <w:numId w:val="16"/>
        </w:numPr>
        <w:jc w:val="both"/>
      </w:pPr>
      <w:r w:rsidRPr="00D42551">
        <w:t>W przypadku, gdy w związku z wykonywaniem niniejszej umowy osoba trzecia zgłosi roszczenia lub wytoczy przeciwko Przetwarzającemu proces związany z wykonaniem Umowy lub też gdy organ nadzorczy w zakresie ochrony danych osobowych zainicjuje przeciwko Przetwarzającemu postępowanie lub wymierzy Przetwarzającemu karę administracyjną, Administrator zobowiązany jest doprowadzić do zwolnienia Przetwarzającego z takich roszczeń  lub kar oraz zwolnienia z udziału w takim postępowaniu lub przystąpić do toczącego się postępowania po stronie Przetwarzającego, w zakresie dopuszczonym przez przepisy proceduralne, pokryć wszelkie orzeczone kary lub prawomocnie zasądzone koszty zastępstwa procesowego, koszty sądowe oraz zapłacić prawomocnie zasądzone odszkodowanie lub pokryć koszty polubownego załatwienia sprawy.</w:t>
      </w:r>
    </w:p>
    <w:p w14:paraId="0ED85999" w14:textId="77777777" w:rsidR="00A44A15" w:rsidRPr="00D42551" w:rsidRDefault="00000000">
      <w:pPr>
        <w:pStyle w:val="Akapitzlist"/>
        <w:numPr>
          <w:ilvl w:val="1"/>
          <w:numId w:val="16"/>
        </w:numPr>
        <w:jc w:val="both"/>
      </w:pPr>
      <w:r w:rsidRPr="00D42551">
        <w:t>W przypadku poniesienia przez Przetwarzającego szkody mającej związek z wykonywaniem niniejszej umowy, nie będącej następstwem winy umyślnej Przetwarzającego dotyczących powierzonych Danych, Administrator zobowiązuje się naprawić taką szkodę do jej pełnej wysokości.</w:t>
      </w:r>
    </w:p>
    <w:p w14:paraId="1CF1FEC0" w14:textId="77777777" w:rsidR="00A44A15" w:rsidRPr="00D42551" w:rsidRDefault="00000000">
      <w:pPr>
        <w:pStyle w:val="Akapitzlist"/>
        <w:numPr>
          <w:ilvl w:val="0"/>
          <w:numId w:val="17"/>
        </w:numPr>
        <w:jc w:val="center"/>
        <w:rPr>
          <w:b/>
          <w:bCs/>
        </w:rPr>
      </w:pPr>
      <w:r w:rsidRPr="00D42551">
        <w:rPr>
          <w:b/>
          <w:bCs/>
        </w:rPr>
        <w:t>Postanowienia końcowe</w:t>
      </w:r>
    </w:p>
    <w:p w14:paraId="0AC6E01F" w14:textId="77777777" w:rsidR="00A44A15" w:rsidRPr="00D42551" w:rsidRDefault="00000000">
      <w:pPr>
        <w:pStyle w:val="Akapitzlist"/>
        <w:numPr>
          <w:ilvl w:val="1"/>
          <w:numId w:val="19"/>
        </w:numPr>
        <w:jc w:val="both"/>
      </w:pPr>
      <w:r w:rsidRPr="00D42551">
        <w:t>Wszelkie zmiany niniejszej umowy, jak również oświadczenia wpływające pośrednio lub bezpośrednio sposób na jej byt prawny, wymagają formy pisemnej pod rygorem nieważności.</w:t>
      </w:r>
    </w:p>
    <w:p w14:paraId="0A90CCF9" w14:textId="77777777" w:rsidR="00A44A15" w:rsidRPr="00D42551" w:rsidRDefault="00000000">
      <w:pPr>
        <w:pStyle w:val="Akapitzlist"/>
        <w:numPr>
          <w:ilvl w:val="1"/>
          <w:numId w:val="19"/>
        </w:numPr>
        <w:jc w:val="both"/>
      </w:pPr>
      <w:r w:rsidRPr="00D42551">
        <w:lastRenderedPageBreak/>
        <w:t>W sprawach nieuregulowanych niniejszą umową, stosuje się postanowienia Umowy Podstawowej oraz prawo właściwe dla Rzeczypospolitej Polskiej, a w szczególności przepisy Rozporządzenia.</w:t>
      </w:r>
    </w:p>
    <w:p w14:paraId="70141969" w14:textId="77777777" w:rsidR="00A44A15" w:rsidRPr="00D42551" w:rsidRDefault="00A44A15">
      <w:pPr>
        <w:jc w:val="both"/>
        <w:rPr>
          <w:i/>
          <w:iCs/>
          <w:lang w:val="pl-PL"/>
        </w:rPr>
      </w:pPr>
    </w:p>
    <w:p w14:paraId="4E1FD0BF" w14:textId="77777777" w:rsidR="00A44A15" w:rsidRPr="00D42551" w:rsidRDefault="00000000">
      <w:pPr>
        <w:jc w:val="both"/>
        <w:rPr>
          <w:lang w:val="pl-PL"/>
        </w:rPr>
      </w:pPr>
      <w:r w:rsidRPr="00D42551">
        <w:rPr>
          <w:i/>
          <w:iCs/>
          <w:lang w:val="pl-PL"/>
        </w:rPr>
        <w:t>za Administratora</w:t>
      </w:r>
      <w:r w:rsidRPr="00D42551">
        <w:rPr>
          <w:i/>
          <w:iCs/>
          <w:lang w:val="pl-PL"/>
        </w:rPr>
        <w:tab/>
      </w:r>
      <w:r w:rsidRPr="00D42551">
        <w:rPr>
          <w:i/>
          <w:iCs/>
          <w:lang w:val="pl-PL"/>
        </w:rPr>
        <w:tab/>
      </w:r>
      <w:r w:rsidRPr="00D42551">
        <w:rPr>
          <w:i/>
          <w:iCs/>
          <w:lang w:val="pl-PL"/>
        </w:rPr>
        <w:tab/>
      </w:r>
      <w:r w:rsidRPr="00D42551">
        <w:rPr>
          <w:i/>
          <w:iCs/>
          <w:lang w:val="pl-PL"/>
        </w:rPr>
        <w:tab/>
      </w:r>
      <w:r w:rsidRPr="00D42551">
        <w:rPr>
          <w:i/>
          <w:iCs/>
          <w:lang w:val="pl-PL"/>
        </w:rPr>
        <w:tab/>
      </w:r>
      <w:r w:rsidRPr="00D42551">
        <w:rPr>
          <w:i/>
          <w:iCs/>
          <w:lang w:val="pl-PL"/>
        </w:rPr>
        <w:tab/>
      </w:r>
      <w:r w:rsidRPr="00D42551">
        <w:rPr>
          <w:i/>
          <w:iCs/>
          <w:lang w:val="pl-PL"/>
        </w:rPr>
        <w:tab/>
      </w:r>
      <w:r w:rsidRPr="00D42551">
        <w:rPr>
          <w:i/>
          <w:iCs/>
          <w:lang w:val="pl-PL"/>
        </w:rPr>
        <w:tab/>
        <w:t>za Przetwarzającego</w:t>
      </w:r>
    </w:p>
    <w:sectPr w:rsidR="00A44A15" w:rsidRPr="00D4255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E6690" w14:textId="77777777" w:rsidR="00574D63" w:rsidRDefault="00574D63">
      <w:pPr>
        <w:spacing w:after="0" w:line="240" w:lineRule="auto"/>
      </w:pPr>
      <w:r>
        <w:separator/>
      </w:r>
    </w:p>
  </w:endnote>
  <w:endnote w:type="continuationSeparator" w:id="0">
    <w:p w14:paraId="18C95BB8" w14:textId="77777777" w:rsidR="00574D63" w:rsidRDefault="0057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7E358" w14:textId="77777777" w:rsidR="00A44A15" w:rsidRDefault="00A44A1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6802C" w14:textId="77777777" w:rsidR="00574D63" w:rsidRDefault="00574D63">
      <w:pPr>
        <w:spacing w:after="0" w:line="240" w:lineRule="auto"/>
      </w:pPr>
      <w:r>
        <w:separator/>
      </w:r>
    </w:p>
  </w:footnote>
  <w:footnote w:type="continuationSeparator" w:id="0">
    <w:p w14:paraId="65BA6A12" w14:textId="77777777" w:rsidR="00574D63" w:rsidRDefault="0057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0A7D7" w14:textId="77777777" w:rsidR="00A44A15" w:rsidRDefault="00000000">
    <w:pPr>
      <w:pStyle w:val="Nagwek"/>
      <w:tabs>
        <w:tab w:val="clear" w:pos="9072"/>
        <w:tab w:val="right" w:pos="9046"/>
      </w:tabs>
      <w:jc w:val="right"/>
    </w:pPr>
    <w:r>
      <w:rPr>
        <w:i/>
        <w:iCs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B50"/>
    <w:multiLevelType w:val="hybridMultilevel"/>
    <w:tmpl w:val="527016A4"/>
    <w:styleLink w:val="Zaimportowanystyl3"/>
    <w:lvl w:ilvl="0" w:tplc="0FC43D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D002C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EAB27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A40EF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BA8F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B07D2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4E46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8693A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D642E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402AAA"/>
    <w:multiLevelType w:val="hybridMultilevel"/>
    <w:tmpl w:val="05D042F2"/>
    <w:styleLink w:val="Zaimportowanystyl6"/>
    <w:lvl w:ilvl="0" w:tplc="BF9C4B5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563A1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C6DA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AEC7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00F7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46BD84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CCCC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22748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16BBD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4EE6592"/>
    <w:multiLevelType w:val="hybridMultilevel"/>
    <w:tmpl w:val="9B9E9B76"/>
    <w:styleLink w:val="Zaimportowanystyl5"/>
    <w:lvl w:ilvl="0" w:tplc="727C61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60F040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C06E7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AC2C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189A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EECCB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061D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1A8B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B209F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184423F"/>
    <w:multiLevelType w:val="hybridMultilevel"/>
    <w:tmpl w:val="9B9E9B76"/>
    <w:numStyleLink w:val="Zaimportowanystyl5"/>
  </w:abstractNum>
  <w:abstractNum w:abstractNumId="4" w15:restartNumberingAfterBreak="0">
    <w:nsid w:val="3EB72349"/>
    <w:multiLevelType w:val="hybridMultilevel"/>
    <w:tmpl w:val="05D042F2"/>
    <w:numStyleLink w:val="Zaimportowanystyl6"/>
  </w:abstractNum>
  <w:abstractNum w:abstractNumId="5" w15:restartNumberingAfterBreak="0">
    <w:nsid w:val="621220E0"/>
    <w:multiLevelType w:val="hybridMultilevel"/>
    <w:tmpl w:val="B4AE04CE"/>
    <w:styleLink w:val="Zaimportowanystyl4"/>
    <w:lvl w:ilvl="0" w:tplc="BABEC33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BCBB32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90F88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EE38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CEF51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64DD1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9CE4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5285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A6301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37E1293"/>
    <w:multiLevelType w:val="hybridMultilevel"/>
    <w:tmpl w:val="527016A4"/>
    <w:numStyleLink w:val="Zaimportowanystyl3"/>
  </w:abstractNum>
  <w:abstractNum w:abstractNumId="7" w15:restartNumberingAfterBreak="0">
    <w:nsid w:val="693C687C"/>
    <w:multiLevelType w:val="hybridMultilevel"/>
    <w:tmpl w:val="5AB2FC92"/>
    <w:styleLink w:val="Zaimportowanystyl2"/>
    <w:lvl w:ilvl="0" w:tplc="F09415F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B62344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3ED0A0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985AF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081AC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1A94C2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0EB49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3A111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6698FC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95D58E2"/>
    <w:multiLevelType w:val="hybridMultilevel"/>
    <w:tmpl w:val="FE302DFC"/>
    <w:numStyleLink w:val="Zaimportowanystyl1"/>
  </w:abstractNum>
  <w:abstractNum w:abstractNumId="9" w15:restartNumberingAfterBreak="0">
    <w:nsid w:val="6D7C7B49"/>
    <w:multiLevelType w:val="hybridMultilevel"/>
    <w:tmpl w:val="B4AE04CE"/>
    <w:numStyleLink w:val="Zaimportowanystyl4"/>
  </w:abstractNum>
  <w:abstractNum w:abstractNumId="10" w15:restartNumberingAfterBreak="0">
    <w:nsid w:val="6FF26477"/>
    <w:multiLevelType w:val="hybridMultilevel"/>
    <w:tmpl w:val="FE302DFC"/>
    <w:styleLink w:val="Zaimportowanystyl1"/>
    <w:lvl w:ilvl="0" w:tplc="839671AC">
      <w:start w:val="1"/>
      <w:numFmt w:val="bullet"/>
      <w:lvlText w:val="¾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B820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6A12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FA01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B2C1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2A89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66F9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FE97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DE48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B0F4B51"/>
    <w:multiLevelType w:val="hybridMultilevel"/>
    <w:tmpl w:val="5AB2FC92"/>
    <w:numStyleLink w:val="Zaimportowanystyl2"/>
  </w:abstractNum>
  <w:num w:numId="1" w16cid:durableId="276110551">
    <w:abstractNumId w:val="10"/>
  </w:num>
  <w:num w:numId="2" w16cid:durableId="235556932">
    <w:abstractNumId w:val="8"/>
  </w:num>
  <w:num w:numId="3" w16cid:durableId="693270205">
    <w:abstractNumId w:val="7"/>
  </w:num>
  <w:num w:numId="4" w16cid:durableId="1989938777">
    <w:abstractNumId w:val="11"/>
  </w:num>
  <w:num w:numId="5" w16cid:durableId="1277760447">
    <w:abstractNumId w:val="11"/>
    <w:lvlOverride w:ilvl="0">
      <w:lvl w:ilvl="0" w:tplc="9BC451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0EF390">
        <w:start w:val="1"/>
        <w:numFmt w:val="decimal"/>
        <w:lvlText w:val="%2."/>
        <w:lvlJc w:val="left"/>
        <w:pPr>
          <w:tabs>
            <w:tab w:val="num" w:pos="1440"/>
          </w:tabs>
          <w:ind w:left="2690" w:hanging="1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9A7AB0">
        <w:start w:val="1"/>
        <w:numFmt w:val="lowerRoman"/>
        <w:lvlText w:val="%3."/>
        <w:lvlJc w:val="left"/>
        <w:pPr>
          <w:tabs>
            <w:tab w:val="num" w:pos="2160"/>
          </w:tabs>
          <w:ind w:left="3410" w:hanging="1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EC2FC4">
        <w:start w:val="1"/>
        <w:numFmt w:val="decimal"/>
        <w:lvlText w:val="%4."/>
        <w:lvlJc w:val="left"/>
        <w:pPr>
          <w:tabs>
            <w:tab w:val="num" w:pos="2880"/>
          </w:tabs>
          <w:ind w:left="4130" w:hanging="1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381710">
        <w:start w:val="1"/>
        <w:numFmt w:val="lowerLetter"/>
        <w:lvlText w:val="%5."/>
        <w:lvlJc w:val="left"/>
        <w:pPr>
          <w:tabs>
            <w:tab w:val="num" w:pos="3600"/>
          </w:tabs>
          <w:ind w:left="4850" w:hanging="1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7EABCE">
        <w:start w:val="1"/>
        <w:numFmt w:val="lowerRoman"/>
        <w:lvlText w:val="%6."/>
        <w:lvlJc w:val="left"/>
        <w:pPr>
          <w:tabs>
            <w:tab w:val="num" w:pos="4320"/>
          </w:tabs>
          <w:ind w:left="5570" w:hanging="1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A8AA314">
        <w:start w:val="1"/>
        <w:numFmt w:val="decimal"/>
        <w:lvlText w:val="%7."/>
        <w:lvlJc w:val="left"/>
        <w:pPr>
          <w:tabs>
            <w:tab w:val="num" w:pos="5040"/>
          </w:tabs>
          <w:ind w:left="6290" w:hanging="1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B2CA76">
        <w:start w:val="1"/>
        <w:numFmt w:val="lowerLetter"/>
        <w:lvlText w:val="%8."/>
        <w:lvlJc w:val="left"/>
        <w:pPr>
          <w:tabs>
            <w:tab w:val="num" w:pos="5760"/>
          </w:tabs>
          <w:ind w:left="7010" w:hanging="1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A4874A">
        <w:start w:val="1"/>
        <w:numFmt w:val="lowerRoman"/>
        <w:lvlText w:val="%9."/>
        <w:lvlJc w:val="left"/>
        <w:pPr>
          <w:tabs>
            <w:tab w:val="num" w:pos="6480"/>
          </w:tabs>
          <w:ind w:left="7730" w:hanging="1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092165685">
    <w:abstractNumId w:val="11"/>
    <w:lvlOverride w:ilvl="1">
      <w:startOverride w:val="4"/>
    </w:lvlOverride>
  </w:num>
  <w:num w:numId="7" w16cid:durableId="1625623422">
    <w:abstractNumId w:val="11"/>
    <w:lvlOverride w:ilvl="1">
      <w:startOverride w:val="5"/>
    </w:lvlOverride>
  </w:num>
  <w:num w:numId="8" w16cid:durableId="1302494635">
    <w:abstractNumId w:val="11"/>
    <w:lvlOverride w:ilvl="0">
      <w:startOverride w:val="2"/>
    </w:lvlOverride>
  </w:num>
  <w:num w:numId="9" w16cid:durableId="448671428">
    <w:abstractNumId w:val="0"/>
  </w:num>
  <w:num w:numId="10" w16cid:durableId="963579145">
    <w:abstractNumId w:val="6"/>
  </w:num>
  <w:num w:numId="11" w16cid:durableId="1769347314">
    <w:abstractNumId w:val="11"/>
    <w:lvlOverride w:ilvl="0">
      <w:startOverride w:val="5"/>
    </w:lvlOverride>
  </w:num>
  <w:num w:numId="12" w16cid:durableId="336201655">
    <w:abstractNumId w:val="5"/>
  </w:num>
  <w:num w:numId="13" w16cid:durableId="259341591">
    <w:abstractNumId w:val="9"/>
  </w:num>
  <w:num w:numId="14" w16cid:durableId="1805343427">
    <w:abstractNumId w:val="11"/>
    <w:lvlOverride w:ilvl="0">
      <w:startOverride w:val="7"/>
    </w:lvlOverride>
  </w:num>
  <w:num w:numId="15" w16cid:durableId="698317799">
    <w:abstractNumId w:val="2"/>
  </w:num>
  <w:num w:numId="16" w16cid:durableId="1443183921">
    <w:abstractNumId w:val="3"/>
  </w:num>
  <w:num w:numId="17" w16cid:durableId="1776092032">
    <w:abstractNumId w:val="11"/>
    <w:lvlOverride w:ilvl="0">
      <w:startOverride w:val="8"/>
    </w:lvlOverride>
  </w:num>
  <w:num w:numId="18" w16cid:durableId="118955926">
    <w:abstractNumId w:val="1"/>
  </w:num>
  <w:num w:numId="19" w16cid:durableId="325402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15"/>
    <w:rsid w:val="00574D63"/>
    <w:rsid w:val="00597800"/>
    <w:rsid w:val="00844A30"/>
    <w:rsid w:val="00A44A15"/>
    <w:rsid w:val="00A67C74"/>
    <w:rsid w:val="00B937A7"/>
    <w:rsid w:val="00D42551"/>
    <w:rsid w:val="00D92FED"/>
    <w:rsid w:val="00F239C1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0300"/>
  <w15:docId w15:val="{241D4C2B-F375-4A15-93BE-F5E787D8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9"/>
      </w:numPr>
    </w:pPr>
  </w:style>
  <w:style w:type="numbering" w:customStyle="1" w:styleId="Zaimportowanystyl4">
    <w:name w:val="Zaimportowany styl 4"/>
    <w:pPr>
      <w:numPr>
        <w:numId w:val="12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1233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Sylwester Szewczyk</cp:lastModifiedBy>
  <cp:revision>4</cp:revision>
  <dcterms:created xsi:type="dcterms:W3CDTF">2024-10-31T07:01:00Z</dcterms:created>
  <dcterms:modified xsi:type="dcterms:W3CDTF">2025-09-01T08:27:00Z</dcterms:modified>
</cp:coreProperties>
</file>